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01" w:rsidRPr="00380B01" w:rsidRDefault="00380B01" w:rsidP="00380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B01" w:rsidRPr="00380B01" w:rsidRDefault="00380B01" w:rsidP="00380B01">
      <w:pPr>
        <w:tabs>
          <w:tab w:val="left" w:pos="306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80B01">
        <w:rPr>
          <w:rFonts w:ascii="Arial" w:hAnsi="Arial" w:cs="Arial"/>
          <w:b/>
          <w:bCs/>
          <w:sz w:val="32"/>
          <w:szCs w:val="32"/>
        </w:rPr>
        <w:t>АДМИНИСТРАЦИЯ  БРЕЖНЕВСКОГО СЕЛЬСОВЕТА</w:t>
      </w:r>
    </w:p>
    <w:p w:rsidR="00380B01" w:rsidRPr="00380B01" w:rsidRDefault="00380B01" w:rsidP="00380B01">
      <w:pPr>
        <w:tabs>
          <w:tab w:val="left" w:pos="306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80B01">
        <w:rPr>
          <w:rFonts w:ascii="Arial" w:hAnsi="Arial" w:cs="Arial"/>
          <w:b/>
          <w:bCs/>
          <w:sz w:val="32"/>
          <w:szCs w:val="32"/>
        </w:rPr>
        <w:t>КУРСКОГО РАЙОНА  КУРСКОЙ ОБЛАСТИ</w:t>
      </w:r>
    </w:p>
    <w:p w:rsidR="00380B01" w:rsidRPr="00380B01" w:rsidRDefault="00380B01" w:rsidP="00380B01">
      <w:pPr>
        <w:tabs>
          <w:tab w:val="left" w:pos="306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80B01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380B01" w:rsidRPr="00380B01" w:rsidRDefault="00380B01" w:rsidP="00380B01">
      <w:pPr>
        <w:tabs>
          <w:tab w:val="left" w:pos="306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:rsidR="00380B01" w:rsidRPr="00380B01" w:rsidRDefault="00380B01" w:rsidP="00380B01">
      <w:pPr>
        <w:tabs>
          <w:tab w:val="left" w:pos="2460"/>
          <w:tab w:val="left" w:pos="306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80B01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380B01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80B01" w:rsidRPr="00380B01" w:rsidRDefault="00380B01" w:rsidP="00380B01">
      <w:pPr>
        <w:tabs>
          <w:tab w:val="left" w:pos="246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:rsidR="00380B01" w:rsidRPr="00380B01" w:rsidRDefault="00380B01" w:rsidP="00380B01">
      <w:pPr>
        <w:tabs>
          <w:tab w:val="left" w:pos="246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</w:t>
      </w:r>
      <w:r w:rsidRPr="00380B0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380B01">
        <w:rPr>
          <w:rFonts w:ascii="Arial" w:hAnsi="Arial" w:cs="Arial"/>
          <w:b/>
          <w:bCs/>
          <w:sz w:val="32"/>
          <w:szCs w:val="32"/>
        </w:rPr>
        <w:t xml:space="preserve">.2022 года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</w:t>
      </w:r>
      <w:r w:rsidRPr="00380B01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380B01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gramStart"/>
      <w:r w:rsidRPr="00380B01">
        <w:rPr>
          <w:rFonts w:ascii="Arial" w:hAnsi="Arial" w:cs="Arial"/>
          <w:b/>
          <w:bCs/>
          <w:sz w:val="32"/>
          <w:szCs w:val="32"/>
        </w:rPr>
        <w:t>П</w:t>
      </w:r>
      <w:proofErr w:type="gramEnd"/>
    </w:p>
    <w:p w:rsidR="00380B01" w:rsidRPr="00380B01" w:rsidRDefault="00380B01" w:rsidP="00380B0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1C83" w:rsidRPr="00380B01" w:rsidRDefault="00831C83" w:rsidP="00380B0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80B01">
        <w:rPr>
          <w:rFonts w:ascii="Arial" w:eastAsia="Times New Roman" w:hAnsi="Arial" w:cs="Arial"/>
          <w:b/>
          <w:sz w:val="32"/>
          <w:szCs w:val="32"/>
          <w:lang w:eastAsia="ru-RU"/>
        </w:rPr>
        <w:t>О мерах по сносу зеленых насаждений на территории Брежневского сельсовета Курского района</w:t>
      </w:r>
    </w:p>
    <w:p w:rsidR="00380B01" w:rsidRDefault="00380B01" w:rsidP="00380B0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C83" w:rsidRPr="00380B01" w:rsidRDefault="00380B01" w:rsidP="00380B0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Start"/>
      <w:r w:rsidR="00831C83" w:rsidRPr="00380B01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4" w:anchor="7D20K3" w:history="1">
        <w:r w:rsidR="00831C83"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831C83" w:rsidRPr="00380B01">
        <w:rPr>
          <w:rFonts w:ascii="Arial" w:eastAsia="Times New Roman" w:hAnsi="Arial" w:cs="Arial"/>
          <w:sz w:val="24"/>
          <w:szCs w:val="24"/>
          <w:lang w:eastAsia="ru-RU"/>
        </w:rPr>
        <w:t>, Уставом муниципального образования "Брежневский сельсовет" Курского района Курской области,  учитывая, что зеленые насаждения играют важную экологическую, эстетическую и культурную роль в формировании качественной окружающей среды, с целью их сохранения, администрация Брежневского сельсовета Курского района ПОСТАНОВЛЯЕТ:</w:t>
      </w:r>
      <w:proofErr w:type="gramEnd"/>
    </w:p>
    <w:p w:rsidR="00831C83" w:rsidRPr="00380B01" w:rsidRDefault="00831C83" w:rsidP="00380B0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сноса зеленых насаждений, возмещения ущерба, нанесенного сносом, и восстановления зеленых насаждений на территории Брежневского сельсовета Курского района согласно приложению к настоящему постановлению;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 2.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  настоящего постановления оставляю за собой;</w:t>
      </w:r>
    </w:p>
    <w:p w:rsidR="00831C83" w:rsidRPr="00380B01" w:rsidRDefault="00831C83" w:rsidP="00380B0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  3. Постановление вступает в силу с момента его подписания и подлежит обязательному опубликованию на официальном сайте Брежневского сельсовета Курского района в сети Интернет;</w:t>
      </w:r>
    </w:p>
    <w:p w:rsidR="00831C83" w:rsidRPr="00380B01" w:rsidRDefault="00831C83" w:rsidP="00380B0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>Глава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Брежневского сельсовета  Курского района                                 В.Д.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Печурин</w:t>
      </w:r>
      <w:proofErr w:type="spellEnd"/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</w:p>
    <w:p w:rsidR="00831C83" w:rsidRPr="00380B01" w:rsidRDefault="00831C83" w:rsidP="00380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31C83" w:rsidRPr="00380B01" w:rsidRDefault="00831C83" w:rsidP="00380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31C83" w:rsidRPr="00380B01" w:rsidRDefault="00831C83" w:rsidP="00380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Брежневского сельсовета</w:t>
      </w:r>
    </w:p>
    <w:p w:rsidR="00831C83" w:rsidRPr="00380B01" w:rsidRDefault="00831C83" w:rsidP="00380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</w:p>
    <w:p w:rsidR="00831C83" w:rsidRPr="00380B01" w:rsidRDefault="00831C83" w:rsidP="00380B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380B01">
        <w:rPr>
          <w:rFonts w:ascii="Arial" w:eastAsia="Times New Roman" w:hAnsi="Arial" w:cs="Arial"/>
          <w:sz w:val="24"/>
          <w:szCs w:val="24"/>
          <w:lang w:eastAsia="ru-RU"/>
        </w:rPr>
        <w:t xml:space="preserve"> 11.05.2022 г. № 20-П</w:t>
      </w:r>
    </w:p>
    <w:p w:rsidR="00831C83" w:rsidRPr="00380B01" w:rsidRDefault="00831C83" w:rsidP="00380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C83" w:rsidRPr="00380B01" w:rsidRDefault="00831C83" w:rsidP="00380B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</w:p>
    <w:p w:rsidR="00831C83" w:rsidRPr="00380B01" w:rsidRDefault="00831C83" w:rsidP="00380B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сноса зеленых насаждений, возмещения ущерба, нанесенного сносом, и восстановления зеленых насаждений на территории</w:t>
      </w:r>
    </w:p>
    <w:p w:rsidR="00831C83" w:rsidRPr="00380B01" w:rsidRDefault="00831C83" w:rsidP="00380B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Брежневского сельсовета Курского района</w:t>
      </w:r>
    </w:p>
    <w:p w:rsidR="00831C83" w:rsidRPr="00380B01" w:rsidRDefault="00831C83" w:rsidP="00380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C83" w:rsidRPr="00380B01" w:rsidRDefault="00831C83" w:rsidP="00380B0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I. Общие положения</w:t>
      </w:r>
    </w:p>
    <w:p w:rsidR="00831C83" w:rsidRPr="00380B01" w:rsidRDefault="00831C83" w:rsidP="00380B0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Настоящий Порядок устанавливает снос зеленых насаждений, возмещения ущерба, нанесенного природной среде муниципального образования "Брежневский сельсовет" Курского района Курской области сносом, и восстановления зеленых насаждений на территории Брежневского сельсовета Курского района.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сноса зеленых насаждений, возмещения ущерба, нанесенного сносом, и восстановления зеленых насаждений на территории Брежневского сельсовета Курского района (далее - Порядок) разработано в соответствии с Федеральными законами </w:t>
      </w:r>
      <w:hyperlink r:id="rId5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"Об охране окружающей среды"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6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7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строительными нормами и правилами 2.07.01-89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"Планировка и застройка городских и сельских поселений".</w:t>
      </w:r>
      <w:proofErr w:type="gramEnd"/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    Под сносом зелёных насаждений понимается порубка (уничтожение) деревьев, кустарников, газонов, цветников, а также любое причинение вреда зелёным насаждениям, влекущее прекращение роста и жизнедеятельности насаждений.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   В настоящем Порядке используются следующие основные понятия: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зеленые насаждения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совокупность естественной и (или) искусственно высаженной древесной, кустарниковой, травянистой растительности;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снос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порубка (уничтожение) деревьев, кустарников, газонов, цветников, а также любое причинение вреда зеленым насаждениям, влекущее прекращение роста и жизнедеятельности насаждений;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порча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вред, нанесенный зеленым насаждениям в результате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окольцовки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ствола, обдира коры, повреждения кроны, корневой системы, обжога, воздействия химическими веществами, нефтепродуктами,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вытаптывания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заезживания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>) газонов, цветников и т.д.;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дерево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растение, имеющее четко выраженный деревянистый ствол диаметром не менее 8 см у основания или не менее 5 см на высоте 1,3 м</w:t>
      </w:r>
      <w:proofErr w:type="gramEnd"/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(за исключением саженцев);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саженцы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молодые деревья с диаметром ствола менее 8 см у основания, высаженные или предназначенные для посадки;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многолетнее растение, ветвящееся у самой поверхности почвы и не имеющее в зрелом возрасте ствола;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ж)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территория (площадь) земельного участка, предназначенная для размещения естественной или искусственно высаженной травянистой растительности;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цветник 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>- территория (площадь) земельного участка, предназначенная для размещения цветов;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озелененные территории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зеленый массив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участок земли, занятый зелеными насаждениями, насчитывающий не менее 50 экземпляров взрослых деревьев, образующих единый полог.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Взрослым считается дерево старше 15 лет либо дерево, не подлежащее пересадке по заключению специально созданной комиссии;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массивов;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м)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действительная восстановительная стоимость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стоимостная оценка зеленых насаждений, учитывающая затраты на их посадку и уход, а также возраст на момент их оценки;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компенсационная стоимость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стоимостная оценка зеленых насаждений, устанавливаемая для учета их ценности при уничтожении,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качеств;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о)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компенсационное озеленение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- воспроизводство зеленых насаждений взамен утраченных.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Настоящий Порядок классифицирует снос зеленых насаждений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вынужденный и незаконный: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вынужденным сносом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условий для размещения временных объектов и объектов недвижимости, их ремонта и обслуживания, объектов инженерного обеспечения, благоустройства городских территорий, а также в целях обеспечения нормативных требований к освещенности жилых и общественных помещений.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При вынужденном сносе деревьев выполняется порубка ствола и выкорчевывание (уничтожение) пней;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80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незаконным сносом зеленых насаждений</w:t>
      </w: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порча или снос (порубка) деревьев, кустарников, газонов и цветников, выполненные без соответствующих разрешительных документов и оплаты восстановительной стоимости.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Под порчей зеленых насаждений понимается вред, нанесенный зеленым насаждениям в результате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окольцовки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ствола, обдира коры, повреждения кроны, корневой системы, обжога, воздействия химическими веществами,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вытаптывания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газонов и т.п.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 При вынужденном сносе зеленых насаждений с заказчика сноса взыскивается восстановительная стоимость, используемая исключительно на целевое финансирование работ по восстановлению зеленых насаждений.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 Настоящий Порядок распространяется на весь зеленый фонд муниципального образования «Брежневский сельсовет» Курского района Курской области за исключением зеленых насаждений, относящихся к частной собственности.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 Вопросы, связанные со сносом, пересадкой зеленых насаждений и оценкой восстановительной стоимости, решает комиссия по зеленым насаждениям (далее по тексту - Комиссия). Состав и порядок работы Комиссии определяется администрацией Брежневского сельсовета Курского района.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     Основными задачами Комиссии являются максимально возможное сохранение зеленых насаждений при осуществлении вынужденного сноса на территории Брежневского сельсовета Курского района и определение суммы восстановительной стоимости.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среде, а при их отсутствии исходя из фактических затрат специализированных организаций по воспроизводству зеленых насаждений в ценах текущего периода.</w:t>
      </w:r>
      <w:proofErr w:type="gramEnd"/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    На Комиссию возлагается функция экспертной оценки необходимости сноса, сохранения или пересадки зеленых насаждений.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Заключение Комиссии и оценка восстановительной стоимости при вынужденном сносе зеленых насаждений, фиксируются в Акте установленной формы согласно </w:t>
      </w:r>
      <w:hyperlink r:id="rId8" w:anchor="sub_10000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№1 к настоящему Положению.</w:t>
      </w:r>
    </w:p>
    <w:p w:rsidR="00831C83" w:rsidRPr="00380B01" w:rsidRDefault="00831C83" w:rsidP="00380B0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II. Порядок сноса, возмещения восстановительной стоимости и восстановления зеленых насаждений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1. Документом, дающим право на проведение работ, связанных с вынужденным сносом зеленых насаждений, в том числе в охранных зонах инженерных сетей и коммуникаций, является разрешение установленной формы согласно </w:t>
      </w:r>
      <w:hyperlink r:id="rId9" w:anchor="sub_10000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№ 2 к настоящему Порядку. Разрешение оформляется администрацией Брежневского сельсовета Курского района при наличии </w:t>
      </w:r>
      <w:hyperlink r:id="rId10" w:anchor="sub_10000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Акта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обследования зелёных насаждений с положительным заключением Комиссии на снос, пересадку, обрезку зелёных насаждений и документов об уплате восстановительной стоимости. Разрешение на снос зеленых насаждений дается сроком до шести месяцев.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2. Разрешение на снос зеленых насаждений выдается заявителю после представления в администрацию Брежневского сельсовета Курского района документов, подтверждающих перечисление на счет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администрации Брежневского сельсовета Курского района суммы восстановительной стоимости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за вред, причиненный природной среде муниципального образования «Брежневский сельсовет» Курского района Курской области сносом насаждений.      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вынужденного сноса зелёных насаждений при строительстве, реконструкции, установке или размещении объектов, в т.ч. временных, требуется наличие документов по инвентаризации зелёных насаждений (количественный, качественный и видовой состав, пространственное расположение зелёных насаждений на выделяемом под размещение, строительство, установку объектов земельном участке), а также в соответствии с действующим </w:t>
      </w:r>
      <w:hyperlink r:id="rId11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копии положительного заключения государственной (экологической, вневедомственной) экспертизы проектов и (при необходимости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>) разрешений на производство строительных работ. Лицо, получившее разрешение на снос зелёных насаждений, после осуществления сноса извещает об этом администрацию Брежневского сельсовета Курского района в недельный срок.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3. Восстановительная стоимость не взыскивается в следующих случаях: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сноса зеленых насаждений для восстановления нормы инсоляции жилых помещений (по заключению органов государственного санитарно-эпидемиологического надзора);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- сноса зеленых насаждений, высаженных с нарушением действующих норм (требований </w:t>
      </w:r>
      <w:hyperlink r:id="rId12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 4.12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СНиП</w:t>
      </w:r>
      <w:proofErr w:type="spell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2.07.01-89);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при сносе аварийных деревьев;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при проведении санитарных рубок на территории Брежневского сельсовета Курского района;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при сносе самосевных древесных насаждений (поросли), имеющих у основания ствола диаметр менее 8 см.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      Правовым актом Администрации Брежневского сельсовета Курского района при строительстве, размещении социально значимых объектов регионального и местного значения (инженерных сооружений и коммуникаций, дорог) и объектов социальной сферы (школ, стадионов, детских садов, культурных центров, монументов, памятников, памятных знаков, мемориальных комплексов, кладбищ) заказчик освобождается от уплаты восстановительной стоимости.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4. Снос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</w:t>
      </w:r>
      <w:hyperlink r:id="rId13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Красную книгу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>, расположенных на  территории Брежневского сельсовета Курского района, запрещен. В чрезвычайных ситуациях, когда снос данной растительности неизбежен,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Брежневского сельсовета Курского района по распоряжению главы Брежневского сельсовета Курского района.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5. Зеленые насаждения, взамен снесенных, восстанавливаются специализированными организациями высадкой равноценных либо более ценных пород деревьев и кустарников, разбивкой и посадкой растительности на газонах в соответствии с согласованными схемами, планами, программами озеленения на территории Брежневского сельсовета Курского района.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6. Допускается проведение работ по вынужденному сносу зеленых насаждений без предварительного оформления разрешительных документов: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- угрожающих жизни и имуществу граждан с последующим оформлением соответствующих документов в течение 10 дней. В данном случае заказчик перед сносом зеленых насаждений извещает Администрацию Брежневского сельсовета Курского района и в двухдневный срок подает заявку на снос зеленых насаждений в Комиссию.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III. Ответственность за незаконный снос насаждений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 1.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</w:t>
      </w:r>
      <w:hyperlink r:id="rId14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об административных правонарушениях и </w:t>
      </w:r>
      <w:hyperlink r:id="rId15" w:history="1"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"Об административных правонарушениях в Курской области".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2. Уплата штрафа за незаконную порубку или повреждение насаждений не освобождает нарушителя от обязанности возмещения ущерба.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Ущерб, причинённый окружающей среде незаконным сносом или повреждением зелёных насаждений на территории Брежневского сельсовета Курского района предъявляется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нарушителям от имени Администрации Брежневского сельсовета Курского района Главой Брежневского сельсовета Курского района. Размер ущерба определяется в соответствии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6" w:anchor="sub_10000" w:history="1">
        <w:proofErr w:type="gramStart"/>
        <w:r w:rsidRPr="00380B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  <w:proofErr w:type="gramEnd"/>
      </w:hyperlink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№ 3 к настоящему постановлению и подлежит перечислению в бюджет муниципального образования «Брежневский сельсовет» Курского района Курской области.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3. Денежные средства, взыскиваемые с физических и юридических лиц в виде административного штрафа, поступают в бюджет муниципального образования «Брежневский сельсовет» Курского района Курской области.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IV. Порядок поступления и использования сре</w:t>
      </w:r>
      <w:proofErr w:type="gramStart"/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дств пр</w:t>
      </w:r>
      <w:proofErr w:type="gramEnd"/>
      <w:r w:rsidRPr="00380B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вынужденном сносе зеленых насаждений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 1. Доходы, полученные от уплаты восстановительной стоимости при вынужденном сносе зеленых насаждений, поступают в бюджет муниципального образования «Брежневский сельсовет» Курского района Курской области.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>2. Использование денежных средств, полученных при вынужденном сносе, производится администрацией Брежневского сельсовета Курского района по договорам со специализированными организациями на работы по озеленению территории Брежневского сельсовета Курского района.</w:t>
      </w:r>
    </w:p>
    <w:p w:rsidR="00831C83" w:rsidRPr="00380B01" w:rsidRDefault="00831C83" w:rsidP="00380B0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80B0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0B01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поступлением средств по возмещению восстановительной стоимости сносимых зеленых насаждений, их целевым расходованием, а также восстановлением зеленых насаждений, взамен снесенных, осуществляется в соответствии с действующим законодательством</w:t>
      </w:r>
    </w:p>
    <w:p w:rsidR="001953D1" w:rsidRPr="00380B01" w:rsidRDefault="001953D1" w:rsidP="00380B01">
      <w:pPr>
        <w:spacing w:after="0"/>
        <w:rPr>
          <w:rFonts w:ascii="Arial" w:hAnsi="Arial" w:cs="Arial"/>
          <w:sz w:val="24"/>
          <w:szCs w:val="24"/>
        </w:rPr>
      </w:pPr>
    </w:p>
    <w:sectPr w:rsidR="001953D1" w:rsidRPr="00380B01" w:rsidSect="00380B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1C83"/>
    <w:rsid w:val="001953D1"/>
    <w:rsid w:val="00380B01"/>
    <w:rsid w:val="00443B63"/>
    <w:rsid w:val="005E5574"/>
    <w:rsid w:val="00831C83"/>
    <w:rsid w:val="00D2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paragraph" w:styleId="1">
    <w:name w:val="heading 1"/>
    <w:basedOn w:val="a"/>
    <w:link w:val="10"/>
    <w:uiPriority w:val="9"/>
    <w:qFormat/>
    <w:rsid w:val="00831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C83"/>
    <w:rPr>
      <w:color w:val="0000FF"/>
      <w:u w:val="single"/>
    </w:rPr>
  </w:style>
  <w:style w:type="character" w:styleId="a5">
    <w:name w:val="Strong"/>
    <w:basedOn w:val="a0"/>
    <w:uiPriority w:val="22"/>
    <w:qFormat/>
    <w:rsid w:val="00831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D%D0%9F%D0%90%202022\%D0%9F%D0%9E%D0%A1%D0%A2%D0%90%D0%9D%D0%9E%D0%92%D0%9B%D0%95%D0%9D%D0%98%D0%95\%D0%9F%D0%A0%D0%9E%D0%95%D0%9A%D0%A2%20%D0%A1%D0%9D%D0%9E%D0%A1%20%D0%94%D0%95%D0%A0%D0%95%D0%92%D0%AC%D0%95%D0%92.docx" TargetMode="External"/><Relationship Id="rId13" Type="http://schemas.openxmlformats.org/officeDocument/2006/relationships/hyperlink" Target="garantf1://2055862.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205985.0" TargetMode="External"/><Relationship Id="rId12" Type="http://schemas.openxmlformats.org/officeDocument/2006/relationships/hyperlink" Target="garantf1://2205985.411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%D0%9D%D0%9F%D0%90%202022\%D0%9F%D0%9E%D0%A1%D0%A2%D0%90%D0%9D%D0%9E%D0%92%D0%9B%D0%95%D0%9D%D0%98%D0%95\%D0%9F%D0%A0%D0%9E%D0%95%D0%9A%D0%A2%20%D0%A1%D0%9D%D0%9E%D0%A1%20%D0%94%D0%95%D0%A0%D0%95%D0%92%D0%AC%D0%95%D0%92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4758.0" TargetMode="External"/><Relationship Id="rId11" Type="http://schemas.openxmlformats.org/officeDocument/2006/relationships/hyperlink" Target="garantf1://12025350.600" TargetMode="External"/><Relationship Id="rId5" Type="http://schemas.openxmlformats.org/officeDocument/2006/relationships/hyperlink" Target="garantf1://12025350.0" TargetMode="External"/><Relationship Id="rId15" Type="http://schemas.openxmlformats.org/officeDocument/2006/relationships/hyperlink" Target="garantf1://21200696.0" TargetMode="External"/><Relationship Id="rId10" Type="http://schemas.openxmlformats.org/officeDocument/2006/relationships/hyperlink" Target="file:///C:\Users\user\Desktop\%D0%9D%D0%9F%D0%90%202022\%D0%9F%D0%9E%D0%A1%D0%A2%D0%90%D0%9D%D0%9E%D0%92%D0%9B%D0%95%D0%9D%D0%98%D0%95\%D0%9F%D0%A0%D0%9E%D0%95%D0%9A%D0%A2%20%D0%A1%D0%9D%D0%9E%D0%A1%20%D0%94%D0%95%D0%A0%D0%95%D0%92%D0%AC%D0%95%D0%92.docx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file:///C:\Users\user\Desktop\%D0%9D%D0%9F%D0%90%202022\%D0%9F%D0%9E%D0%A1%D0%A2%D0%90%D0%9D%D0%9E%D0%92%D0%9B%D0%95%D0%9D%D0%98%D0%95\%D0%9F%D0%A0%D0%9E%D0%95%D0%9A%D0%A2%20%D0%A1%D0%9D%D0%9E%D0%A1%20%D0%94%D0%95%D0%A0%D0%95%D0%92%D0%AC%D0%95%D0%92.docx" TargetMode="External"/><Relationship Id="rId14" Type="http://schemas.openxmlformats.org/officeDocument/2006/relationships/hyperlink" Target="garantf1://12025267.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2394</Words>
  <Characters>13647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Порядок</vt:lpstr>
      <vt:lpstr>сноса зеленых насаждений, возмещения ущерба, нанесенного сносом, и восстановлени</vt:lpstr>
      <vt:lpstr>Брежневского сельсовета Курского района</vt:lpstr>
      <vt:lpstr>I. Общие положения</vt:lpstr>
      <vt:lpstr>Настоящий Порядок устанавливает снос зеленых насаждений, возмещения ущерба, нан</vt:lpstr>
      <vt:lpstr>II. Порядок сноса, возмещения восстановительной стоимости и восстановления зелен</vt:lpstr>
    </vt:vector>
  </TitlesOfParts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2022-05-11T09:31:00Z</cp:lastPrinted>
  <dcterms:created xsi:type="dcterms:W3CDTF">2022-04-08T06:19:00Z</dcterms:created>
  <dcterms:modified xsi:type="dcterms:W3CDTF">2022-05-11T09:39:00Z</dcterms:modified>
</cp:coreProperties>
</file>