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FF45FA" w14:textId="77777777" w:rsidR="00F11448" w:rsidRPr="00F11448" w:rsidRDefault="00F11448" w:rsidP="00F1144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2"/>
          <w:szCs w:val="32"/>
          <w:lang w:eastAsia="ar-SA"/>
          <w14:ligatures w14:val="none"/>
        </w:rPr>
      </w:pPr>
      <w:proofErr w:type="gramStart"/>
      <w:r w:rsidRPr="00F11448">
        <w:rPr>
          <w:rFonts w:ascii="Arial" w:eastAsia="Times New Roman" w:hAnsi="Arial" w:cs="Times New Roman"/>
          <w:b/>
          <w:bCs/>
          <w:kern w:val="0"/>
          <w:sz w:val="32"/>
          <w:szCs w:val="32"/>
          <w:lang w:eastAsia="ar-SA"/>
          <w14:ligatures w14:val="none"/>
        </w:rPr>
        <w:t>АДМИНИСТРАЦИЯ  БРЕЖНЕВСКОГО</w:t>
      </w:r>
      <w:proofErr w:type="gramEnd"/>
      <w:r w:rsidRPr="00F11448">
        <w:rPr>
          <w:rFonts w:ascii="Arial" w:eastAsia="Times New Roman" w:hAnsi="Arial" w:cs="Times New Roman"/>
          <w:b/>
          <w:bCs/>
          <w:kern w:val="0"/>
          <w:sz w:val="32"/>
          <w:szCs w:val="32"/>
          <w:lang w:eastAsia="ar-SA"/>
          <w14:ligatures w14:val="none"/>
        </w:rPr>
        <w:t xml:space="preserve"> СЕЛЬСОВЕТА</w:t>
      </w:r>
    </w:p>
    <w:p w14:paraId="642C4077" w14:textId="77777777" w:rsidR="00F11448" w:rsidRPr="00F11448" w:rsidRDefault="00F11448" w:rsidP="00F1144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2"/>
          <w:szCs w:val="32"/>
          <w:lang w:eastAsia="ar-SA"/>
          <w14:ligatures w14:val="none"/>
        </w:rPr>
      </w:pPr>
      <w:r w:rsidRPr="00F11448">
        <w:rPr>
          <w:rFonts w:ascii="Arial" w:eastAsia="Times New Roman" w:hAnsi="Arial" w:cs="Times New Roman"/>
          <w:b/>
          <w:bCs/>
          <w:kern w:val="0"/>
          <w:sz w:val="32"/>
          <w:szCs w:val="32"/>
          <w:lang w:eastAsia="ar-SA"/>
          <w14:ligatures w14:val="none"/>
        </w:rPr>
        <w:t xml:space="preserve">КУРСКОГО </w:t>
      </w:r>
      <w:proofErr w:type="gramStart"/>
      <w:r w:rsidRPr="00F11448">
        <w:rPr>
          <w:rFonts w:ascii="Arial" w:eastAsia="Times New Roman" w:hAnsi="Arial" w:cs="Times New Roman"/>
          <w:b/>
          <w:bCs/>
          <w:kern w:val="0"/>
          <w:sz w:val="32"/>
          <w:szCs w:val="32"/>
          <w:lang w:eastAsia="ar-SA"/>
          <w14:ligatures w14:val="none"/>
        </w:rPr>
        <w:t>РАЙОНА  КУРСКОЙ</w:t>
      </w:r>
      <w:proofErr w:type="gramEnd"/>
      <w:r w:rsidRPr="00F11448">
        <w:rPr>
          <w:rFonts w:ascii="Arial" w:eastAsia="Times New Roman" w:hAnsi="Arial" w:cs="Times New Roman"/>
          <w:b/>
          <w:bCs/>
          <w:kern w:val="0"/>
          <w:sz w:val="32"/>
          <w:szCs w:val="32"/>
          <w:lang w:eastAsia="ar-SA"/>
          <w14:ligatures w14:val="none"/>
        </w:rPr>
        <w:t xml:space="preserve"> ОБЛАСТИ</w:t>
      </w:r>
    </w:p>
    <w:p w14:paraId="10B1FB5C" w14:textId="77777777" w:rsidR="00F11448" w:rsidRPr="00F11448" w:rsidRDefault="00F11448" w:rsidP="00F114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1704C201" w14:textId="77777777" w:rsidR="00F11448" w:rsidRPr="00F11448" w:rsidRDefault="00F11448" w:rsidP="00F114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ПОСТАНОВЛЕНИЕ</w:t>
      </w:r>
    </w:p>
    <w:p w14:paraId="2C936214" w14:textId="77777777" w:rsidR="00F11448" w:rsidRPr="00F11448" w:rsidRDefault="00F11448" w:rsidP="00F11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2D265835" w14:textId="63E3E6BE" w:rsidR="00F11448" w:rsidRPr="00F11448" w:rsidRDefault="00F11448" w:rsidP="00F1144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От</w:t>
      </w:r>
      <w:r w:rsidR="0033277B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 xml:space="preserve"> 13</w:t>
      </w:r>
      <w:r w:rsidRPr="00F11448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.12.202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4</w:t>
      </w:r>
      <w:r w:rsidRPr="00F11448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 xml:space="preserve">г.  </w:t>
      </w:r>
      <w:r w:rsidRPr="00F114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 xml:space="preserve">                                                                           </w:t>
      </w:r>
      <w:r w:rsidRPr="00F11448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 xml:space="preserve">№ </w:t>
      </w:r>
      <w:r w:rsidR="0033277B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102</w:t>
      </w:r>
      <w:r w:rsidRPr="00F11448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- П</w:t>
      </w:r>
    </w:p>
    <w:p w14:paraId="3312B2E9" w14:textId="77777777" w:rsidR="00F11448" w:rsidRPr="00F11448" w:rsidRDefault="00F11448" w:rsidP="00F1144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2"/>
          <w:szCs w:val="32"/>
          <w:lang w:eastAsia="ar-SA"/>
          <w14:ligatures w14:val="none"/>
        </w:rPr>
      </w:pPr>
      <w:r w:rsidRPr="00F11448">
        <w:rPr>
          <w:rFonts w:ascii="Arial" w:eastAsia="Times New Roman" w:hAnsi="Arial" w:cs="Times New Roman"/>
          <w:b/>
          <w:bCs/>
          <w:kern w:val="0"/>
          <w:sz w:val="32"/>
          <w:szCs w:val="32"/>
          <w:lang w:eastAsia="ar-SA"/>
          <w14:ligatures w14:val="none"/>
        </w:rPr>
        <w:t>с.Верхнекасиново</w:t>
      </w:r>
    </w:p>
    <w:p w14:paraId="6F665D53" w14:textId="77777777" w:rsidR="00F11448" w:rsidRPr="00F11448" w:rsidRDefault="00F11448" w:rsidP="00F11448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0"/>
          <w:sz w:val="32"/>
          <w:szCs w:val="32"/>
          <w:lang w:eastAsia="ar-SA"/>
          <w14:ligatures w14:val="none"/>
        </w:rPr>
      </w:pPr>
    </w:p>
    <w:p w14:paraId="45171A56" w14:textId="77777777" w:rsidR="00F11448" w:rsidRPr="00F11448" w:rsidRDefault="00F11448" w:rsidP="00F11448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Arial" w:eastAsia="Calibri" w:hAnsi="Arial" w:cs="Arial"/>
          <w:b/>
          <w:kern w:val="0"/>
          <w:sz w:val="28"/>
          <w:szCs w:val="28"/>
          <w:lang w:eastAsia="ar-SA"/>
          <w14:ligatures w14:val="none"/>
        </w:rPr>
        <w:t xml:space="preserve">О внесение изменений и дополнений в постановление </w:t>
      </w:r>
    </w:p>
    <w:p w14:paraId="225A1F59" w14:textId="56205120" w:rsidR="00F11448" w:rsidRPr="00F11448" w:rsidRDefault="00F11448" w:rsidP="00F11448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Arial" w:eastAsia="Calibri" w:hAnsi="Arial" w:cs="Arial"/>
          <w:b/>
          <w:kern w:val="0"/>
          <w:sz w:val="28"/>
          <w:szCs w:val="28"/>
          <w:lang w:eastAsia="ar-SA"/>
          <w14:ligatures w14:val="none"/>
        </w:rPr>
        <w:t>№</w:t>
      </w:r>
      <w:r>
        <w:rPr>
          <w:rFonts w:ascii="Arial" w:eastAsia="Calibri" w:hAnsi="Arial" w:cs="Arial"/>
          <w:b/>
          <w:kern w:val="0"/>
          <w:sz w:val="28"/>
          <w:szCs w:val="28"/>
          <w:lang w:eastAsia="ar-SA"/>
          <w14:ligatures w14:val="none"/>
        </w:rPr>
        <w:t>77</w:t>
      </w:r>
      <w:r w:rsidRPr="00F11448">
        <w:rPr>
          <w:rFonts w:ascii="Arial" w:eastAsia="Calibri" w:hAnsi="Arial" w:cs="Arial"/>
          <w:b/>
          <w:kern w:val="0"/>
          <w:sz w:val="28"/>
          <w:szCs w:val="28"/>
          <w:lang w:eastAsia="ar-SA"/>
          <w14:ligatures w14:val="none"/>
        </w:rPr>
        <w:t xml:space="preserve">-П от </w:t>
      </w:r>
      <w:r>
        <w:rPr>
          <w:rFonts w:ascii="Arial" w:eastAsia="Calibri" w:hAnsi="Arial" w:cs="Arial"/>
          <w:b/>
          <w:kern w:val="0"/>
          <w:sz w:val="28"/>
          <w:szCs w:val="28"/>
          <w:lang w:eastAsia="ar-SA"/>
          <w14:ligatures w14:val="none"/>
        </w:rPr>
        <w:t>01.11.2023</w:t>
      </w:r>
      <w:r w:rsidRPr="00F11448">
        <w:rPr>
          <w:rFonts w:ascii="Arial" w:eastAsia="Calibri" w:hAnsi="Arial" w:cs="Arial"/>
          <w:b/>
          <w:kern w:val="0"/>
          <w:sz w:val="28"/>
          <w:szCs w:val="28"/>
          <w:lang w:eastAsia="ar-SA"/>
          <w14:ligatures w14:val="none"/>
        </w:rPr>
        <w:t xml:space="preserve"> года</w:t>
      </w:r>
    </w:p>
    <w:p w14:paraId="76716575" w14:textId="77777777" w:rsidR="00F11448" w:rsidRPr="00F11448" w:rsidRDefault="00F11448" w:rsidP="00F114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«Об утверждении муниципальной</w:t>
      </w:r>
    </w:p>
    <w:p w14:paraId="774E2852" w14:textId="77777777" w:rsidR="00F11448" w:rsidRPr="00F11448" w:rsidRDefault="00F11448" w:rsidP="00F1144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Arial" w:eastAsia="Times New Roman" w:hAnsi="Arial" w:cs="Arial"/>
          <w:b/>
          <w:kern w:val="0"/>
          <w:sz w:val="28"/>
          <w:szCs w:val="28"/>
          <w:lang w:eastAsia="ar-SA"/>
          <w14:ligatures w14:val="none"/>
        </w:rPr>
        <w:t>программы «Социальная поддержка граждан»»</w:t>
      </w:r>
    </w:p>
    <w:p w14:paraId="0C6DC482" w14:textId="77777777" w:rsidR="00F11448" w:rsidRPr="00F11448" w:rsidRDefault="00F11448" w:rsidP="00F11448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A18664C" w14:textId="77777777" w:rsidR="00F11448" w:rsidRPr="00F11448" w:rsidRDefault="00F11448" w:rsidP="00F1144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</w:pP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 </w:t>
      </w:r>
      <w:r w:rsidRPr="00F1144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Pr="00F11448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, с Уставом муниципального образования  Брежневского сельсовета Курского района Курской области,  Постановлением администрации Брежневского сельсовета Курского района Курской области от 28.10.2013 года № 76-П «Об утверждении Положения о разработке, утверждении и реализации муниципальных программ» </w:t>
      </w:r>
      <w:r w:rsidRPr="00F1144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>(с изменениями и дополнениями от 10 ноября 2014 года № 76-П, от 26 августа 2016г. №184-П, от 26 июля 2019г. №87-П)</w:t>
      </w:r>
      <w:r w:rsidRPr="00F11448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, </w:t>
      </w:r>
      <w:r w:rsidRPr="00F1144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Администрация </w:t>
      </w:r>
      <w:r w:rsidRPr="00F11448">
        <w:rPr>
          <w:rFonts w:ascii="Arial" w:eastAsia="Calibri" w:hAnsi="Arial" w:cs="Arial"/>
          <w:kern w:val="0"/>
          <w:sz w:val="24"/>
          <w:szCs w:val="24"/>
          <w:lang w:eastAsia="ar-SA"/>
          <w14:ligatures w14:val="none"/>
        </w:rPr>
        <w:t xml:space="preserve">Брежневского сельсовета Курского района Курской области    </w:t>
      </w:r>
      <w:r w:rsidRPr="00F11448">
        <w:rPr>
          <w:rFonts w:ascii="Arial" w:eastAsia="Times New Roman" w:hAnsi="Arial" w:cs="Arial"/>
          <w:kern w:val="0"/>
          <w:sz w:val="24"/>
          <w:szCs w:val="24"/>
          <w:lang w:eastAsia="ar-SA"/>
          <w14:ligatures w14:val="none"/>
        </w:rPr>
        <w:t xml:space="preserve">            </w:t>
      </w:r>
    </w:p>
    <w:p w14:paraId="45195EDB" w14:textId="77777777" w:rsidR="00F11448" w:rsidRPr="00F11448" w:rsidRDefault="00F11448" w:rsidP="00F11448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958CAF3" w14:textId="77777777" w:rsidR="00F11448" w:rsidRPr="00F11448" w:rsidRDefault="00F11448" w:rsidP="00F11448">
      <w:pPr>
        <w:suppressAutoHyphens/>
        <w:autoSpaceDE w:val="0"/>
        <w:spacing w:after="0" w:line="240" w:lineRule="auto"/>
        <w:ind w:left="-142"/>
        <w:jc w:val="center"/>
        <w:rPr>
          <w:rFonts w:ascii="Arial" w:eastAsia="Times New Roman" w:hAnsi="Arial" w:cs="Arial"/>
          <w:kern w:val="0"/>
          <w:sz w:val="28"/>
          <w:szCs w:val="20"/>
          <w:lang w:eastAsia="ar-SA"/>
          <w14:ligatures w14:val="none"/>
        </w:rPr>
      </w:pPr>
      <w:r w:rsidRPr="00F11448">
        <w:rPr>
          <w:rFonts w:ascii="Arial" w:eastAsia="Times New Roman" w:hAnsi="Arial" w:cs="Arial"/>
          <w:kern w:val="0"/>
          <w:sz w:val="28"/>
          <w:szCs w:val="20"/>
          <w:lang w:eastAsia="ar-SA"/>
          <w14:ligatures w14:val="none"/>
        </w:rPr>
        <w:t>ПОСТАНОВЛЯЕТ:</w:t>
      </w:r>
    </w:p>
    <w:p w14:paraId="5E6ED2D9" w14:textId="77777777" w:rsidR="00F11448" w:rsidRPr="00F11448" w:rsidRDefault="00F11448" w:rsidP="00F11448">
      <w:pPr>
        <w:suppressAutoHyphens/>
        <w:autoSpaceDE w:val="0"/>
        <w:spacing w:after="0" w:line="240" w:lineRule="auto"/>
        <w:ind w:left="-142"/>
        <w:jc w:val="center"/>
        <w:rPr>
          <w:rFonts w:ascii="Arial" w:eastAsia="Times New Roman" w:hAnsi="Arial" w:cs="Arial"/>
          <w:kern w:val="0"/>
          <w:sz w:val="28"/>
          <w:szCs w:val="20"/>
          <w:lang w:eastAsia="ar-SA"/>
          <w14:ligatures w14:val="none"/>
        </w:rPr>
      </w:pPr>
    </w:p>
    <w:p w14:paraId="5C9BB15C" w14:textId="7CCEB874" w:rsidR="00F11448" w:rsidRPr="00F11448" w:rsidRDefault="00F11448" w:rsidP="00F11448">
      <w:pPr>
        <w:suppressAutoHyphens/>
        <w:autoSpaceDE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lang w:eastAsia="ar-SA"/>
          <w14:ligatures w14:val="none"/>
        </w:rPr>
        <w:t xml:space="preserve">  </w:t>
      </w:r>
      <w:r w:rsidRPr="00F11448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   Внести в постановление от </w:t>
      </w: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>01</w:t>
      </w:r>
      <w:r w:rsidRPr="00F11448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>.</w:t>
      </w:r>
      <w:r w:rsidR="001C6125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>11</w:t>
      </w:r>
      <w:r w:rsidRPr="00F11448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>.20</w:t>
      </w:r>
      <w:r w:rsidR="001C6125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>24</w:t>
      </w:r>
      <w:r w:rsidRPr="00F11448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 </w:t>
      </w:r>
      <w:proofErr w:type="gramStart"/>
      <w:r w:rsidRPr="00F11448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>года  №</w:t>
      </w:r>
      <w:proofErr w:type="gramEnd"/>
      <w:r w:rsidR="001C6125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>77</w:t>
      </w:r>
      <w:r w:rsidRPr="00F11448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-П </w:t>
      </w:r>
      <w:r w:rsidRPr="00F11448">
        <w:rPr>
          <w:rFonts w:ascii="Times New Roman" w:eastAsia="Calibri" w:hAnsi="Times New Roman" w:cs="Times New Roman"/>
          <w:kern w:val="0"/>
          <w:sz w:val="28"/>
          <w:szCs w:val="28"/>
          <w:lang w:eastAsia="ar-SA"/>
          <w14:ligatures w14:val="none"/>
        </w:rPr>
        <w:t>«Об  утверждении муниципальной программы</w:t>
      </w:r>
      <w:r w:rsidRPr="00F1144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 xml:space="preserve"> </w:t>
      </w:r>
      <w:r w:rsidRPr="00F11448">
        <w:rPr>
          <w:rFonts w:ascii="Times New Roman" w:eastAsia="Calibri" w:hAnsi="Times New Roman" w:cs="Times New Roman"/>
          <w:bCs/>
          <w:kern w:val="0"/>
          <w:sz w:val="28"/>
          <w:szCs w:val="28"/>
          <w:lang w:eastAsia="ar-SA"/>
          <w14:ligatures w14:val="none"/>
        </w:rPr>
        <w:t xml:space="preserve">«Социальная поддержка граждан» </w:t>
      </w:r>
      <w:r w:rsidRPr="00F11448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ar-SA"/>
          <w14:ligatures w14:val="none"/>
        </w:rPr>
        <w:t>следующие изменения:</w:t>
      </w:r>
    </w:p>
    <w:p w14:paraId="5BF01127" w14:textId="77777777" w:rsidR="00F11448" w:rsidRPr="00F11448" w:rsidRDefault="00F11448" w:rsidP="00F114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         1. В паспорте муниципальной программы объемы бюджетных ассигнований   программы изложить </w:t>
      </w:r>
      <w:proofErr w:type="gramStart"/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в  новой</w:t>
      </w:r>
      <w:proofErr w:type="gramEnd"/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редакции. </w:t>
      </w:r>
    </w:p>
    <w:p w14:paraId="661F7DD5" w14:textId="77777777" w:rsidR="00F11448" w:rsidRDefault="00F11448" w:rsidP="00F114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p w14:paraId="2D66B42E" w14:textId="51CDFAE8" w:rsidR="00F11448" w:rsidRPr="00F11448" w:rsidRDefault="00F11448" w:rsidP="00F114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  <w:t>III. СИСТЕМА ПРОГРАММНЫХ МЕРОПРИЯТИЙ</w:t>
      </w:r>
    </w:p>
    <w:p w14:paraId="581B22D9" w14:textId="77777777" w:rsidR="00F11448" w:rsidRPr="00F11448" w:rsidRDefault="00F11448" w:rsidP="00F1144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414CC61" w14:textId="77777777" w:rsidR="00F11448" w:rsidRPr="00F11448" w:rsidRDefault="00F11448" w:rsidP="00F114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Перечень программных мероприятий:</w:t>
      </w:r>
    </w:p>
    <w:p w14:paraId="4CF16E25" w14:textId="77777777" w:rsidR="00F11448" w:rsidRPr="00F11448" w:rsidRDefault="00F11448" w:rsidP="00F114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назначение муниципальной пенсии за выслугу лет лицам, замещавшим муниципальные должности и должности муниципальной службы;</w:t>
      </w:r>
    </w:p>
    <w:p w14:paraId="651B512A" w14:textId="77777777" w:rsidR="00F11448" w:rsidRPr="00F11448" w:rsidRDefault="00F11448" w:rsidP="00F114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выплата муниципальной пенсии за выслугу лет лицам, замещавшим муниципальные должности </w:t>
      </w:r>
      <w:proofErr w:type="gramStart"/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и  должности</w:t>
      </w:r>
      <w:proofErr w:type="gramEnd"/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муниципальной службы, путем перечисления денежных средств на счета получателей в кредитных учреждениях;</w:t>
      </w:r>
    </w:p>
    <w:p w14:paraId="64059C49" w14:textId="77777777" w:rsidR="00F11448" w:rsidRPr="00F11448" w:rsidRDefault="00F11448" w:rsidP="00F11448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проведение перерасчета муниципальной пенсии за выслугу лет при изменении трудовой пенсии и изменении размера оплаты труда муниципальных служащих.</w:t>
      </w:r>
    </w:p>
    <w:p w14:paraId="4649892A" w14:textId="43ACFE09" w:rsidR="00F11448" w:rsidRPr="00F11448" w:rsidRDefault="00F11448" w:rsidP="00F11448">
      <w:pPr>
        <w:suppressAutoHyphens/>
        <w:spacing w:after="0" w:line="240" w:lineRule="auto"/>
        <w:ind w:right="72"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lastRenderedPageBreak/>
        <w:t xml:space="preserve">Общий объем финансирования Программы за счет средств местного бюджета составляет всего – </w:t>
      </w:r>
      <w:r w:rsidR="001C612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559 368</w:t>
      </w: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рублей </w:t>
      </w:r>
      <w:r w:rsidR="001C612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75</w:t>
      </w: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копеек, в том числе:</w:t>
      </w:r>
    </w:p>
    <w:p w14:paraId="0E1FF8A3" w14:textId="74CD4C04" w:rsidR="00F11448" w:rsidRPr="00F11448" w:rsidRDefault="00F11448" w:rsidP="00F11448">
      <w:pPr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2024 год – </w:t>
      </w:r>
      <w:r w:rsidR="001C612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307 368 </w:t>
      </w: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руб. </w:t>
      </w:r>
      <w:r w:rsidR="001C612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75</w:t>
      </w: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копеек;</w:t>
      </w:r>
    </w:p>
    <w:p w14:paraId="7B9239A9" w14:textId="0794CE44" w:rsidR="00F11448" w:rsidRPr="00F11448" w:rsidRDefault="00F11448" w:rsidP="00F11448">
      <w:pPr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2025 год – </w:t>
      </w:r>
      <w:r w:rsidR="001C612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250</w:t>
      </w: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000 руб. 00 копеек;</w:t>
      </w:r>
    </w:p>
    <w:p w14:paraId="33BB0E4B" w14:textId="77777777" w:rsidR="00F11448" w:rsidRPr="00F11448" w:rsidRDefault="00F11448" w:rsidP="00F11448">
      <w:pPr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2026 год – 1 000 руб. 00 копеек;</w:t>
      </w:r>
    </w:p>
    <w:p w14:paraId="2A201D80" w14:textId="6C35B0C8" w:rsidR="00F11448" w:rsidRPr="00F11448" w:rsidRDefault="00F11448" w:rsidP="00F11448">
      <w:pPr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2027 год – </w:t>
      </w:r>
      <w:r w:rsidR="001C6125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1 00</w:t>
      </w: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0 руб. 00 копеек;</w:t>
      </w:r>
    </w:p>
    <w:p w14:paraId="2D189191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  <w:r w:rsidRPr="00F11448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2028 год – 0 руб. 00 копеек;</w:t>
      </w:r>
    </w:p>
    <w:p w14:paraId="18F7FD0C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CCC08C2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3E12DDD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98BD673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83769C7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4851B7A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B7D9C74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831348D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30AB3D0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E67A369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2DBAC0B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ABAA4A2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DC93E90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5B9C700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4987FEBD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B1A1C77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1310B90F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33FD2BC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1CDB36A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0487A67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B8E3DB8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55820EC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5A7B3D1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741CF560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A59803C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6F1554A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3858F32B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283C16F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0D63D405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3B56A1A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E7539F2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52BE842A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636FE70C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5CE1F10" w14:textId="77777777" w:rsid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D2DF016" w14:textId="77777777" w:rsidR="00F11448" w:rsidRP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p w14:paraId="229527E4" w14:textId="77777777" w:rsidR="00F11448" w:rsidRPr="00F11448" w:rsidRDefault="00F11448" w:rsidP="00F1144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</w:pPr>
    </w:p>
    <w:tbl>
      <w:tblPr>
        <w:tblW w:w="0" w:type="auto"/>
        <w:tblInd w:w="-2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16"/>
        <w:gridCol w:w="5832"/>
      </w:tblGrid>
      <w:tr w:rsidR="00F11448" w:rsidRPr="00F11448" w14:paraId="79DF71E1" w14:textId="77777777" w:rsidTr="003C7EF9">
        <w:trPr>
          <w:trHeight w:val="52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93B457" w14:textId="77777777" w:rsidR="00F11448" w:rsidRPr="00F11448" w:rsidRDefault="00F11448" w:rsidP="00F1144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lastRenderedPageBreak/>
              <w:t>Ответственный исполнитель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A5A1B" w14:textId="77777777" w:rsidR="00F11448" w:rsidRPr="00F11448" w:rsidRDefault="00F11448" w:rsidP="00F1144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Администраци </w:t>
            </w:r>
            <w:proofErr w:type="gramStart"/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Брежневского </w:t>
            </w:r>
            <w:r w:rsidRPr="00F1144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сельсовета</w:t>
            </w:r>
            <w:proofErr w:type="gramEnd"/>
            <w:r w:rsidRPr="00F1144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Курского района Курской области</w:t>
            </w:r>
          </w:p>
        </w:tc>
      </w:tr>
      <w:tr w:rsidR="00F11448" w:rsidRPr="00F11448" w14:paraId="2D9EBB64" w14:textId="77777777" w:rsidTr="003C7EF9">
        <w:trPr>
          <w:trHeight w:val="426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20CE29" w14:textId="77777777" w:rsidR="00F11448" w:rsidRPr="00F11448" w:rsidRDefault="00F11448" w:rsidP="00F11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Соисполнители программы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91B377" w14:textId="77777777" w:rsidR="00F11448" w:rsidRPr="00F11448" w:rsidRDefault="00F11448" w:rsidP="00F1144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------ </w:t>
            </w:r>
          </w:p>
        </w:tc>
      </w:tr>
      <w:tr w:rsidR="00F11448" w:rsidRPr="00F11448" w14:paraId="0B85185A" w14:textId="77777777" w:rsidTr="003C7EF9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87B907" w14:textId="77777777" w:rsidR="00F11448" w:rsidRPr="00F11448" w:rsidRDefault="00F11448" w:rsidP="00F114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Участники программы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2293F" w14:textId="77777777" w:rsidR="00F11448" w:rsidRPr="00F11448" w:rsidRDefault="00F11448" w:rsidP="00F114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Администрация </w:t>
            </w: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Брежневского </w:t>
            </w:r>
            <w:r w:rsidRPr="00F1144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сельсовета Курского района Курской области</w:t>
            </w:r>
          </w:p>
        </w:tc>
      </w:tr>
      <w:tr w:rsidR="00F11448" w:rsidRPr="00F11448" w14:paraId="265CBAF9" w14:textId="77777777" w:rsidTr="003C7EF9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03EC98" w14:textId="77777777" w:rsidR="00F11448" w:rsidRPr="00F11448" w:rsidRDefault="00F11448" w:rsidP="00F1144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Подпрограммы программы  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84A08" w14:textId="77777777" w:rsidR="00F11448" w:rsidRPr="00F11448" w:rsidRDefault="00F11448" w:rsidP="00F114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proofErr w:type="gramStart"/>
            <w:r w:rsidRPr="00F114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«</w:t>
            </w:r>
            <w:r w:rsidRPr="00F11448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F11448">
              <w:rPr>
                <w:rFonts w:ascii="Calibri" w:eastAsia="Calibri" w:hAnsi="Calibri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>Развитие</w:t>
            </w:r>
            <w:proofErr w:type="gramEnd"/>
            <w:r w:rsidRPr="00F11448">
              <w:rPr>
                <w:rFonts w:ascii="Calibri" w:eastAsia="Calibri" w:hAnsi="Calibri" w:cs="Times New Roman"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  <w:t xml:space="preserve"> мер социальной поддержки отдельных категорий граждан»</w:t>
            </w:r>
            <w:r w:rsidRPr="00F1144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»</w:t>
            </w:r>
          </w:p>
        </w:tc>
      </w:tr>
      <w:tr w:rsidR="00F11448" w:rsidRPr="00F11448" w14:paraId="117CBDA9" w14:textId="77777777" w:rsidTr="003C7EF9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7DA06C" w14:textId="77777777" w:rsidR="00F11448" w:rsidRPr="00F11448" w:rsidRDefault="00F11448" w:rsidP="00F11448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Программно-целевые инструменты программы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3164" w14:textId="77777777" w:rsidR="00F11448" w:rsidRPr="00F11448" w:rsidRDefault="00F11448" w:rsidP="00F114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Отсутствуют.</w:t>
            </w:r>
          </w:p>
          <w:p w14:paraId="04F3A139" w14:textId="77777777" w:rsidR="00F11448" w:rsidRPr="00F11448" w:rsidRDefault="00F11448" w:rsidP="00F114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</w:p>
        </w:tc>
      </w:tr>
      <w:tr w:rsidR="00F11448" w:rsidRPr="00F11448" w14:paraId="086CF25D" w14:textId="77777777" w:rsidTr="003C7EF9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84A77A" w14:textId="77777777" w:rsidR="00F11448" w:rsidRPr="00F11448" w:rsidRDefault="00F11448" w:rsidP="00F11448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Цель программы</w:t>
            </w: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9DE2A" w14:textId="77777777" w:rsidR="00F11448" w:rsidRPr="00F11448" w:rsidRDefault="00F11448" w:rsidP="00F1144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обеспечение.</w:t>
            </w:r>
          </w:p>
        </w:tc>
      </w:tr>
      <w:tr w:rsidR="00F11448" w:rsidRPr="00F11448" w14:paraId="3F0E4F3B" w14:textId="77777777" w:rsidTr="003C7EF9">
        <w:trPr>
          <w:trHeight w:val="2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9A8C10" w14:textId="77777777" w:rsidR="00F11448" w:rsidRPr="00F11448" w:rsidRDefault="00F11448" w:rsidP="00F114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Задачи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C1716" w14:textId="77777777" w:rsidR="00F11448" w:rsidRPr="00F11448" w:rsidRDefault="00F11448" w:rsidP="00F1144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Назначение и выплата муниципальной </w:t>
            </w:r>
            <w:proofErr w:type="gramStart"/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пенсии  за</w:t>
            </w:r>
            <w:proofErr w:type="gramEnd"/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 выслугу лет лицам, замещавшим муниципальные должности и муниципальные    должности  муниципальной службы, доплат к пенсиям </w:t>
            </w:r>
          </w:p>
        </w:tc>
      </w:tr>
      <w:tr w:rsidR="00F11448" w:rsidRPr="00F11448" w14:paraId="0DC639D4" w14:textId="77777777" w:rsidTr="003C7EF9">
        <w:trPr>
          <w:trHeight w:val="458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252AB" w14:textId="77777777" w:rsidR="00F11448" w:rsidRPr="00F11448" w:rsidRDefault="00F11448" w:rsidP="00F11448">
            <w:pPr>
              <w:widowControl w:val="0"/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Этапы и сроки реализации программы</w:t>
            </w: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: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A387F" w14:textId="77777777" w:rsidR="00F11448" w:rsidRPr="00F11448" w:rsidRDefault="00F11448" w:rsidP="00F11448">
            <w:pPr>
              <w:tabs>
                <w:tab w:val="left" w:pos="98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Муниципальная программа реализуется в 2024-2028 годах в один этап: 2024-2028 годы.</w:t>
            </w:r>
          </w:p>
        </w:tc>
      </w:tr>
      <w:tr w:rsidR="00F11448" w:rsidRPr="00F11448" w14:paraId="0192B3B7" w14:textId="77777777" w:rsidTr="003C7EF9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53DC1" w14:textId="77777777" w:rsidR="00F11448" w:rsidRPr="00F11448" w:rsidRDefault="00F11448" w:rsidP="00F114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Структура   программы, перечень подпрограмм, основных направлений и </w:t>
            </w:r>
            <w:proofErr w:type="gramStart"/>
            <w:r w:rsidRPr="00F1144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мероприятий</w:t>
            </w: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:   </w:t>
            </w:r>
            <w:proofErr w:type="gramEnd"/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ED062" w14:textId="77777777" w:rsidR="00F11448" w:rsidRPr="00F11448" w:rsidRDefault="00F11448" w:rsidP="00F1144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Назначение муниципальной пенсии за выслугу лет лицам, замещавшим муниципальные   должности </w:t>
            </w:r>
            <w:proofErr w:type="gramStart"/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и  должности</w:t>
            </w:r>
            <w:proofErr w:type="gramEnd"/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муниципальной службы и доплат к пенсиям;</w:t>
            </w:r>
          </w:p>
          <w:p w14:paraId="72CD0D13" w14:textId="77777777" w:rsidR="00F11448" w:rsidRPr="00F11448" w:rsidRDefault="00F11448" w:rsidP="00F1144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выплата муниципальной пенсии за выслугу лет лицам, замещавшим муниципальные должности </w:t>
            </w:r>
            <w:proofErr w:type="gramStart"/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и  должности</w:t>
            </w:r>
            <w:proofErr w:type="gramEnd"/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муниципальной службы доплат к пенсиям, путем перечисления денежных средств на счета получателей в кредитных учреждениях;</w:t>
            </w:r>
          </w:p>
          <w:p w14:paraId="3F7B8B10" w14:textId="77777777" w:rsidR="00F11448" w:rsidRPr="00F11448" w:rsidRDefault="00F11448" w:rsidP="00F1144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проведение перерасчета муниципальной пенсии за выслугу лет и доплат к пенсиям главам поселений при изменении государственной пенсии и изменении размера оплаты труда муниципальных служащих и главы поселения </w:t>
            </w:r>
          </w:p>
        </w:tc>
      </w:tr>
      <w:tr w:rsidR="00F11448" w:rsidRPr="00F11448" w14:paraId="1C767183" w14:textId="77777777" w:rsidTr="003C7EF9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53138" w14:textId="77777777" w:rsidR="00F11448" w:rsidRPr="00F11448" w:rsidRDefault="00F11448" w:rsidP="00F11448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Объемы и источники финансирования программы</w:t>
            </w: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: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24F7" w14:textId="445EFB39" w:rsidR="00F11448" w:rsidRPr="00F11448" w:rsidRDefault="00F11448" w:rsidP="00F11448">
            <w:pPr>
              <w:suppressAutoHyphens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Общий объем финансирования Программы за счет средств местного бюджета составляет всего – </w:t>
            </w:r>
            <w:r w:rsidR="001C61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559 368</w:t>
            </w: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рублей </w:t>
            </w:r>
            <w:r w:rsidR="001C61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75</w:t>
            </w: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копеек, в том числе:</w:t>
            </w:r>
          </w:p>
          <w:p w14:paraId="191CBAE0" w14:textId="25E8885C" w:rsidR="00F11448" w:rsidRPr="00F11448" w:rsidRDefault="00F11448" w:rsidP="00F11448">
            <w:pPr>
              <w:suppressAutoHyphens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2024 год – </w:t>
            </w:r>
            <w:r w:rsidR="001C61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307 368 </w:t>
            </w: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руб. </w:t>
            </w:r>
            <w:r w:rsidR="001C61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75</w:t>
            </w: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копеек;</w:t>
            </w:r>
          </w:p>
          <w:p w14:paraId="7E39DE1E" w14:textId="14547A41" w:rsidR="00F11448" w:rsidRPr="00F11448" w:rsidRDefault="00F11448" w:rsidP="00F11448">
            <w:pPr>
              <w:suppressAutoHyphens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2025 год – </w:t>
            </w:r>
            <w:r w:rsidR="001C61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250</w:t>
            </w: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000 руб. 00 копеек;</w:t>
            </w:r>
          </w:p>
          <w:p w14:paraId="0D0B0E53" w14:textId="77777777" w:rsidR="00F11448" w:rsidRPr="00F11448" w:rsidRDefault="00F11448" w:rsidP="00F11448">
            <w:pPr>
              <w:suppressAutoHyphens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lastRenderedPageBreak/>
              <w:t>2026 год – 1 000 руб. 00 копеек;</w:t>
            </w:r>
          </w:p>
          <w:p w14:paraId="7C314F81" w14:textId="6F840989" w:rsidR="00F11448" w:rsidRPr="00F11448" w:rsidRDefault="00F11448" w:rsidP="00F11448">
            <w:pPr>
              <w:suppressAutoHyphens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2027 год – </w:t>
            </w:r>
            <w:r w:rsidR="001C612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1 00</w:t>
            </w: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0 руб. 00 копеек;</w:t>
            </w:r>
          </w:p>
          <w:p w14:paraId="0AC40167" w14:textId="77777777" w:rsidR="00F11448" w:rsidRPr="00F11448" w:rsidRDefault="00F11448" w:rsidP="00F11448">
            <w:pPr>
              <w:suppressAutoHyphens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2028 год – 0 руб. 00 копеек;</w:t>
            </w:r>
          </w:p>
        </w:tc>
      </w:tr>
      <w:tr w:rsidR="00F11448" w:rsidRPr="00F11448" w14:paraId="24EB7C25" w14:textId="77777777" w:rsidTr="003C7EF9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ED5EB3" w14:textId="77777777" w:rsidR="00F11448" w:rsidRPr="00F11448" w:rsidRDefault="00F11448" w:rsidP="00F1144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lastRenderedPageBreak/>
              <w:t xml:space="preserve">Ожидаемые конечные результаты реализации </w:t>
            </w:r>
            <w:proofErr w:type="gramStart"/>
            <w:r w:rsidRPr="00F1144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программы:   </w:t>
            </w:r>
            <w:proofErr w:type="gramEnd"/>
            <w:r w:rsidRPr="00F1144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    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69DAA" w14:textId="77777777" w:rsidR="00F11448" w:rsidRPr="00F11448" w:rsidRDefault="00F11448" w:rsidP="00F1144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Гарантированное право лицам, замещавшим     муниципальные должности </w:t>
            </w:r>
            <w:proofErr w:type="gramStart"/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и  должности</w:t>
            </w:r>
            <w:proofErr w:type="gramEnd"/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муниципальной службы, на пенсионное обеспечение в соответствии с действующим законодательством</w:t>
            </w:r>
          </w:p>
        </w:tc>
      </w:tr>
      <w:tr w:rsidR="00F11448" w:rsidRPr="00F11448" w14:paraId="59B8781A" w14:textId="77777777" w:rsidTr="003C7EF9">
        <w:trPr>
          <w:trHeight w:val="826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654CE" w14:textId="77777777" w:rsidR="00F11448" w:rsidRPr="00F11448" w:rsidRDefault="00F11448" w:rsidP="00F11448">
            <w:pPr>
              <w:tabs>
                <w:tab w:val="left" w:pos="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Система организации </w:t>
            </w:r>
            <w:proofErr w:type="gramStart"/>
            <w:r w:rsidRPr="00F1144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>контроля  исполнения</w:t>
            </w:r>
            <w:proofErr w:type="gramEnd"/>
            <w:r w:rsidRPr="00F11448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ar-SA"/>
                <w14:ligatures w14:val="none"/>
              </w:rPr>
              <w:t xml:space="preserve"> программы: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059FA" w14:textId="77777777" w:rsidR="00F11448" w:rsidRPr="00F11448" w:rsidRDefault="00F11448" w:rsidP="00F114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</w:pPr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Контроль за исполнением Программы осуществляет Администрация </w:t>
            </w:r>
            <w:proofErr w:type="gramStart"/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>Брежневского  сельсовета</w:t>
            </w:r>
            <w:proofErr w:type="gramEnd"/>
            <w:r w:rsidRPr="00F1144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ar-SA"/>
                <w14:ligatures w14:val="none"/>
              </w:rPr>
              <w:t xml:space="preserve"> Курского района Курской области </w:t>
            </w:r>
          </w:p>
        </w:tc>
      </w:tr>
    </w:tbl>
    <w:p w14:paraId="02FCF92C" w14:textId="77777777" w:rsidR="004E1A36" w:rsidRDefault="004E1A36"/>
    <w:sectPr w:rsidR="004E1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F94"/>
    <w:rsid w:val="001C6125"/>
    <w:rsid w:val="00283F46"/>
    <w:rsid w:val="0033277B"/>
    <w:rsid w:val="004E1A36"/>
    <w:rsid w:val="00592A61"/>
    <w:rsid w:val="005D0AFC"/>
    <w:rsid w:val="00961B02"/>
    <w:rsid w:val="00E1032E"/>
    <w:rsid w:val="00EF2F94"/>
    <w:rsid w:val="00F1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22DB"/>
  <w15:chartTrackingRefBased/>
  <w15:docId w15:val="{2620DBA4-2667-41EE-AA5C-581EBE704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4</cp:revision>
  <dcterms:created xsi:type="dcterms:W3CDTF">2024-11-27T11:05:00Z</dcterms:created>
  <dcterms:modified xsi:type="dcterms:W3CDTF">2024-12-13T09:16:00Z</dcterms:modified>
</cp:coreProperties>
</file>